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43B" w:rsidRPr="004E443B" w:rsidRDefault="004E443B" w:rsidP="004E443B">
      <w:pPr>
        <w:spacing w:line="480" w:lineRule="auto"/>
      </w:pPr>
    </w:p>
    <w:p w:rsidR="004E443B" w:rsidRPr="004E443B" w:rsidRDefault="004E443B" w:rsidP="004E443B">
      <w:pPr>
        <w:spacing w:line="480" w:lineRule="auto"/>
      </w:pPr>
    </w:p>
    <w:p w:rsidR="004E443B" w:rsidRPr="004E443B" w:rsidRDefault="004E443B" w:rsidP="004E443B">
      <w:pPr>
        <w:spacing w:line="480" w:lineRule="auto"/>
      </w:pPr>
    </w:p>
    <w:p w:rsidR="004E443B" w:rsidRPr="004E443B" w:rsidRDefault="004E443B" w:rsidP="004E443B">
      <w:pPr>
        <w:spacing w:line="480" w:lineRule="auto"/>
      </w:pPr>
    </w:p>
    <w:p w:rsidR="004E443B" w:rsidRPr="004E443B" w:rsidRDefault="004E443B" w:rsidP="004E443B">
      <w:pPr>
        <w:spacing w:line="480" w:lineRule="auto"/>
      </w:pPr>
    </w:p>
    <w:p w:rsidR="004E443B" w:rsidRPr="004E443B" w:rsidRDefault="004E443B" w:rsidP="004E443B">
      <w:pPr>
        <w:spacing w:line="480" w:lineRule="auto"/>
      </w:pPr>
    </w:p>
    <w:p w:rsidR="004E443B" w:rsidRPr="004E443B" w:rsidRDefault="004E443B" w:rsidP="004E443B">
      <w:pPr>
        <w:spacing w:line="480" w:lineRule="auto"/>
      </w:pPr>
    </w:p>
    <w:p w:rsidR="004E443B" w:rsidRPr="004E443B" w:rsidRDefault="004E443B" w:rsidP="004E443B">
      <w:pPr>
        <w:spacing w:line="480" w:lineRule="auto"/>
        <w:jc w:val="center"/>
      </w:pPr>
      <w:r w:rsidRPr="004E443B">
        <w:t>Healthcare Coding</w:t>
      </w:r>
    </w:p>
    <w:p w:rsidR="004E443B" w:rsidRPr="004E443B" w:rsidRDefault="004E443B" w:rsidP="004E443B">
      <w:pPr>
        <w:spacing w:line="480" w:lineRule="auto"/>
        <w:jc w:val="center"/>
      </w:pPr>
      <w:r w:rsidRPr="004E443B">
        <w:t>Name of Student</w:t>
      </w:r>
    </w:p>
    <w:p w:rsidR="004E443B" w:rsidRPr="004E443B" w:rsidRDefault="004E443B" w:rsidP="004E443B">
      <w:pPr>
        <w:spacing w:line="480" w:lineRule="auto"/>
        <w:jc w:val="center"/>
      </w:pPr>
      <w:r w:rsidRPr="004E443B">
        <w:t>Name of Institution</w:t>
      </w:r>
    </w:p>
    <w:p w:rsidR="004E443B" w:rsidRPr="004E443B" w:rsidRDefault="004E443B" w:rsidP="004E443B">
      <w:pPr>
        <w:spacing w:line="480" w:lineRule="auto"/>
        <w:jc w:val="center"/>
      </w:pPr>
      <w:r w:rsidRPr="004E443B">
        <w:t xml:space="preserve">Date </w:t>
      </w:r>
      <w:r w:rsidRPr="004E443B">
        <w:br w:type="page"/>
      </w:r>
    </w:p>
    <w:p w:rsidR="004F4111" w:rsidRPr="004E443B" w:rsidRDefault="004F4111" w:rsidP="004E443B">
      <w:pPr>
        <w:shd w:val="clear" w:color="auto" w:fill="FFFFFF"/>
        <w:spacing w:line="480" w:lineRule="auto"/>
        <w:ind w:firstLine="720"/>
      </w:pPr>
      <w:r w:rsidRPr="004E443B">
        <w:lastRenderedPageBreak/>
        <w:t xml:space="preserve">There are multiple channels effective in the prevention, diagnosis, and treatment of illnesses. There are no exact paths, and all of them have to be recorded and accounted for, thus creating the need for medical coding. Medical coding serves as an influential aspect, particularly as the motor of operation that caters </w:t>
      </w:r>
      <w:r w:rsidR="004E443B" w:rsidRPr="004E443B">
        <w:t>to</w:t>
      </w:r>
      <w:r w:rsidRPr="004E443B">
        <w:t xml:space="preserve"> finances in healthcare. </w:t>
      </w:r>
      <w:r w:rsidR="00CD5ABD" w:rsidRPr="004E443B">
        <w:t xml:space="preserve">Its influence in billing ascertains the need for the interventions and procedures based on the patient’s medical condition. </w:t>
      </w:r>
    </w:p>
    <w:p w:rsidR="00CD5ABD" w:rsidRPr="004E443B" w:rsidRDefault="00CD5ABD" w:rsidP="004E443B">
      <w:pPr>
        <w:spacing w:line="480" w:lineRule="auto"/>
        <w:ind w:firstLine="720"/>
      </w:pPr>
      <w:r w:rsidRPr="004E443B">
        <w:t xml:space="preserve">According to </w:t>
      </w:r>
      <w:proofErr w:type="spellStart"/>
      <w:r w:rsidRPr="004E443B">
        <w:t>Gapenski</w:t>
      </w:r>
      <w:proofErr w:type="spellEnd"/>
      <w:r w:rsidRPr="004E443B">
        <w:t xml:space="preserve"> (2013), finance in healthcare plans for</w:t>
      </w:r>
      <w:r w:rsidR="004E443B" w:rsidRPr="004E443B">
        <w:t>,</w:t>
      </w:r>
      <w:r w:rsidRPr="004E443B">
        <w:t xml:space="preserve"> acquires and utilizes various resources </w:t>
      </w:r>
      <w:r w:rsidR="004E443B" w:rsidRPr="004E443B">
        <w:t>intending to maximize</w:t>
      </w:r>
      <w:r w:rsidRPr="004E443B">
        <w:t xml:space="preserve"> </w:t>
      </w:r>
      <w:r w:rsidR="004E443B" w:rsidRPr="004E443B">
        <w:t xml:space="preserve">the </w:t>
      </w:r>
      <w:r w:rsidRPr="004E443B">
        <w:t xml:space="preserve">efficiency of the facility. </w:t>
      </w:r>
      <w:r w:rsidR="00684A32" w:rsidRPr="004E443B">
        <w:t xml:space="preserve">The activities in such organizations have financial implications and cover </w:t>
      </w:r>
      <w:r w:rsidR="004E443B" w:rsidRPr="004E443B">
        <w:t xml:space="preserve">the </w:t>
      </w:r>
      <w:r w:rsidR="00684A32" w:rsidRPr="004E443B">
        <w:t xml:space="preserve">controlling of resources, acquisition of capital, management of cash, and measuring and minimizing costs. The finances included cover effectiveness for current operations, and also planning and budgeting for the future. Healthcare institutions also endeavor to reduce cost implications and ensure operational effectiveness through proper management of supply and cash inventories and also collecting of debts owed. A critical decision for healthcare managers is capital investment decisions. Performance for the facilities is subject to external reference through financial reporting. As such, </w:t>
      </w:r>
      <w:r w:rsidR="004E443B" w:rsidRPr="004E443B">
        <w:t xml:space="preserve">the </w:t>
      </w:r>
      <w:r w:rsidR="00684A32" w:rsidRPr="004E443B">
        <w:t xml:space="preserve">analysis should account for financial and operational assessments. Furthermore, </w:t>
      </w:r>
      <w:r w:rsidR="004E443B" w:rsidRPr="004E443B">
        <w:t xml:space="preserve">the </w:t>
      </w:r>
      <w:r w:rsidR="00684A32" w:rsidRPr="004E443B">
        <w:t>inclusion of contract management engages such organizations in negotiation, signing</w:t>
      </w:r>
      <w:r w:rsidR="004E443B" w:rsidRPr="004E443B">
        <w:t>,</w:t>
      </w:r>
      <w:r w:rsidR="00684A32" w:rsidRPr="004E443B">
        <w:t xml:space="preserve"> and monitoring contracts with health insurers and managed care organizations. </w:t>
      </w:r>
    </w:p>
    <w:p w:rsidR="00684A32" w:rsidRPr="004E443B" w:rsidRDefault="00640E04" w:rsidP="004E443B">
      <w:pPr>
        <w:spacing w:line="480" w:lineRule="auto"/>
        <w:ind w:firstLine="720"/>
      </w:pPr>
      <w:r w:rsidRPr="004E443B">
        <w:t>The International Classification of Diseases (ICD) serves as a resource that classifies diseases according to various signs, symptoms, and external causes of injury (</w:t>
      </w:r>
      <w:proofErr w:type="spellStart"/>
      <w:r w:rsidRPr="004E443B">
        <w:t>Gapenski</w:t>
      </w:r>
      <w:proofErr w:type="spellEnd"/>
      <w:r w:rsidRPr="004E443B">
        <w:t>, 2013). The universal use of ICD codes detail</w:t>
      </w:r>
      <w:r w:rsidR="004E443B" w:rsidRPr="004E443B">
        <w:t>s</w:t>
      </w:r>
      <w:r w:rsidRPr="004E443B">
        <w:t xml:space="preserve"> </w:t>
      </w:r>
      <w:r w:rsidR="004E443B" w:rsidRPr="004E443B">
        <w:t>numer</w:t>
      </w:r>
      <w:r w:rsidRPr="004E443B">
        <w:t>ous distinctions in health proceedings. The codes may have between three or five digits, with the first three identifying the category of the disease, and the rest providing additional information. Federal law promote</w:t>
      </w:r>
      <w:r w:rsidR="004E443B" w:rsidRPr="004E443B">
        <w:t>s</w:t>
      </w:r>
      <w:r w:rsidRPr="004E443B">
        <w:t xml:space="preserve"> the use of ICD-9 codes to all clinical providers in documenting patient services to improve on the use of electronic medical </w:t>
      </w:r>
      <w:r w:rsidRPr="004E443B">
        <w:lastRenderedPageBreak/>
        <w:t xml:space="preserve">records and also standardization. However, the </w:t>
      </w:r>
      <w:r w:rsidR="004E443B" w:rsidRPr="004E443B">
        <w:t>ICD-9</w:t>
      </w:r>
      <w:r w:rsidRPr="004E443B">
        <w:t xml:space="preserve"> </w:t>
      </w:r>
      <w:proofErr w:type="gramStart"/>
      <w:r w:rsidRPr="004E443B">
        <w:t>are</w:t>
      </w:r>
      <w:proofErr w:type="gramEnd"/>
      <w:r w:rsidRPr="004E443B">
        <w:t xml:space="preserve"> technical and complicated, with the need for an in-depth understanding of abbreviations and medical terminology for the coders involved. If done </w:t>
      </w:r>
      <w:r w:rsidR="004E443B" w:rsidRPr="004E443B">
        <w:t>correct</w:t>
      </w:r>
      <w:r w:rsidRPr="004E443B">
        <w:t xml:space="preserve">ly, the codes improve on financial efficiency through </w:t>
      </w:r>
      <w:r w:rsidR="004E443B" w:rsidRPr="004E443B">
        <w:t xml:space="preserve">the </w:t>
      </w:r>
      <w:r w:rsidRPr="004E443B">
        <w:t xml:space="preserve">provision of accurate, reliable, and timely information, hence the need for proper reimbursement of third parties involved. </w:t>
      </w:r>
    </w:p>
    <w:p w:rsidR="00EF157A" w:rsidRPr="004E443B" w:rsidRDefault="00640E04" w:rsidP="004E443B">
      <w:pPr>
        <w:spacing w:line="480" w:lineRule="auto"/>
        <w:ind w:firstLine="720"/>
      </w:pPr>
      <w:r w:rsidRPr="004E443B">
        <w:t xml:space="preserve">Third-party payers </w:t>
      </w:r>
      <w:r w:rsidR="00EF157A" w:rsidRPr="004E443B">
        <w:t xml:space="preserve">are </w:t>
      </w:r>
      <w:r w:rsidR="004E443B" w:rsidRPr="004E443B">
        <w:t>a</w:t>
      </w:r>
      <w:r w:rsidR="00EF157A" w:rsidRPr="004E443B">
        <w:t xml:space="preserve"> </w:t>
      </w:r>
      <w:r w:rsidR="004E443B" w:rsidRPr="004E443B">
        <w:t>significant</w:t>
      </w:r>
      <w:r w:rsidR="00EF157A" w:rsidRPr="004E443B">
        <w:t xml:space="preserve"> source of revenue through insurance that reimburses health services and organizations (</w:t>
      </w:r>
      <w:proofErr w:type="spellStart"/>
      <w:r w:rsidR="00EF157A" w:rsidRPr="004E443B">
        <w:t>Gapenski</w:t>
      </w:r>
      <w:proofErr w:type="spellEnd"/>
      <w:r w:rsidR="00EF157A" w:rsidRPr="004E443B">
        <w:t>, 2013). The insurers can either be public or private. They adopt various methods in reimbursing providers, subject to services rendered</w:t>
      </w:r>
      <w:r w:rsidR="004E443B" w:rsidRPr="004E443B">
        <w:t>,</w:t>
      </w:r>
      <w:r w:rsidR="00EF157A" w:rsidRPr="004E443B">
        <w:t xml:space="preserve"> and the patient. Specific features associated with the group include indemnification, </w:t>
      </w:r>
      <w:r w:rsidR="00CC723E" w:rsidRPr="004E443B">
        <w:t>payment</w:t>
      </w:r>
      <w:r w:rsidR="00EF157A" w:rsidRPr="004E443B">
        <w:t xml:space="preserve"> for random losses, transfers risks, and spreading of risks. </w:t>
      </w:r>
      <w:r w:rsidR="00CC723E" w:rsidRPr="004E443B">
        <w:t xml:space="preserve">The last aspect involves </w:t>
      </w:r>
      <w:r w:rsidR="004E443B" w:rsidRPr="004E443B">
        <w:t xml:space="preserve">the </w:t>
      </w:r>
      <w:r w:rsidR="00CC723E" w:rsidRPr="004E443B">
        <w:t>accumulation of all the losses for a larger group to influence the risk of a single entity</w:t>
      </w:r>
      <w:r w:rsidR="004E443B" w:rsidRPr="004E443B">
        <w:t xml:space="preserve"> (Meyer, 2011)</w:t>
      </w:r>
      <w:r w:rsidR="00CC723E" w:rsidRPr="004E443B">
        <w:t xml:space="preserve">. The functioning of third-parties </w:t>
      </w:r>
      <w:r w:rsidR="004E443B" w:rsidRPr="004E443B">
        <w:t>consists of</w:t>
      </w:r>
      <w:r w:rsidR="00CC723E" w:rsidRPr="004E443B">
        <w:t xml:space="preserve"> </w:t>
      </w:r>
      <w:r w:rsidR="004E443B" w:rsidRPr="004E443B">
        <w:t xml:space="preserve">the </w:t>
      </w:r>
      <w:r w:rsidR="00CC723E" w:rsidRPr="004E443B">
        <w:t xml:space="preserve">absorption of risks associated with healthcare costs since they have a better chance of settling the debts from their premiums. Occasionally, third-parties pay for random losses </w:t>
      </w:r>
      <w:r w:rsidR="004E443B" w:rsidRPr="004E443B">
        <w:t>that</w:t>
      </w:r>
      <w:r w:rsidR="00CC723E" w:rsidRPr="004E443B">
        <w:t xml:space="preserve"> occur by chance. Indemnification is the last feature </w:t>
      </w:r>
      <w:r w:rsidR="004E443B" w:rsidRPr="004E443B">
        <w:t>that</w:t>
      </w:r>
      <w:r w:rsidR="00CC723E" w:rsidRPr="004E443B">
        <w:t xml:space="preserve"> involves partial or full compensation to the insured for losses incurred from illness or injury. </w:t>
      </w:r>
    </w:p>
    <w:p w:rsidR="00CC723E" w:rsidRPr="004E443B" w:rsidRDefault="00CC723E" w:rsidP="004E443B">
      <w:pPr>
        <w:spacing w:line="480" w:lineRule="auto"/>
        <w:ind w:firstLine="720"/>
      </w:pPr>
      <w:r w:rsidRPr="004E443B">
        <w:t xml:space="preserve">The classification of methods appropriate for reimbursing healthcare providers for services rendered includes fee-for-service or capitation. The former option offers higher reimbursement for </w:t>
      </w:r>
      <w:r w:rsidR="004E443B" w:rsidRPr="004E443B">
        <w:t xml:space="preserve">the </w:t>
      </w:r>
      <w:r w:rsidRPr="004E443B">
        <w:t>provision of more services. The payments could be cost-based, prospective</w:t>
      </w:r>
      <w:r w:rsidR="004E443B" w:rsidRPr="004E443B">
        <w:t>,</w:t>
      </w:r>
      <w:r w:rsidRPr="004E443B">
        <w:t xml:space="preserve"> </w:t>
      </w:r>
      <w:r w:rsidR="00CC06CF" w:rsidRPr="004E443B">
        <w:t>o</w:t>
      </w:r>
      <w:r w:rsidRPr="004E443B">
        <w:t xml:space="preserve">r charge-based. Cost-based </w:t>
      </w:r>
      <w:r w:rsidR="004E443B" w:rsidRPr="004E443B">
        <w:t>type</w:t>
      </w:r>
      <w:r w:rsidRPr="004E443B">
        <w:t xml:space="preserve"> </w:t>
      </w:r>
      <w:r w:rsidR="00CC06CF" w:rsidRPr="004E443B">
        <w:t>include</w:t>
      </w:r>
      <w:r w:rsidR="004E443B" w:rsidRPr="004E443B">
        <w:t>s</w:t>
      </w:r>
      <w:r w:rsidR="00CC06CF" w:rsidRPr="004E443B">
        <w:t xml:space="preserve"> third-party payers reimbursing the healthcare providers for all the insured and is </w:t>
      </w:r>
      <w:r w:rsidRPr="004E443B">
        <w:t xml:space="preserve">limited </w:t>
      </w:r>
      <w:r w:rsidR="00CC06CF" w:rsidRPr="004E443B">
        <w:t xml:space="preserve">to only the provided services. The </w:t>
      </w:r>
      <w:r w:rsidR="004E443B" w:rsidRPr="004E443B">
        <w:t xml:space="preserve">reimbursement </w:t>
      </w:r>
      <w:r w:rsidR="00CC06CF" w:rsidRPr="004E443B">
        <w:t xml:space="preserve">from the third-party payer is periodic, and they also get to establish the final settlement when ending the contract. </w:t>
      </w:r>
      <w:r w:rsidR="004E443B" w:rsidRPr="004E443B">
        <w:t>A p</w:t>
      </w:r>
      <w:r w:rsidR="00CC06CF" w:rsidRPr="004E443B">
        <w:t xml:space="preserve">rospective </w:t>
      </w:r>
      <w:r w:rsidR="004E443B" w:rsidRPr="004E443B">
        <w:t>type of p</w:t>
      </w:r>
      <w:r w:rsidR="00CC06CF" w:rsidRPr="004E443B">
        <w:t xml:space="preserve">ayment includes setup with already </w:t>
      </w:r>
      <w:r w:rsidR="00CC06CF" w:rsidRPr="004E443B">
        <w:lastRenderedPageBreak/>
        <w:t>defined rates of pay before providing any services (</w:t>
      </w:r>
      <w:proofErr w:type="spellStart"/>
      <w:r w:rsidR="00CC06CF" w:rsidRPr="004E443B">
        <w:t>Jiwani</w:t>
      </w:r>
      <w:proofErr w:type="spellEnd"/>
      <w:r w:rsidR="00CC06CF" w:rsidRPr="004E443B">
        <w:t xml:space="preserve"> et al</w:t>
      </w:r>
      <w:r w:rsidR="004E443B" w:rsidRPr="004E443B">
        <w:t>.</w:t>
      </w:r>
      <w:r w:rsidR="00CC06CF" w:rsidRPr="004E443B">
        <w:t xml:space="preserve">, 2014). Charge-based payment bills the third-party payer according to the established </w:t>
      </w:r>
      <w:r w:rsidR="004E443B" w:rsidRPr="004E443B">
        <w:t>standard</w:t>
      </w:r>
      <w:r w:rsidR="00CC06CF" w:rsidRPr="004E443B">
        <w:t xml:space="preserve">s by the provider. </w:t>
      </w:r>
    </w:p>
    <w:p w:rsidR="00CA1DB7" w:rsidRPr="004E443B" w:rsidRDefault="00CC06CF" w:rsidP="004E443B">
      <w:pPr>
        <w:spacing w:line="480" w:lineRule="auto"/>
        <w:ind w:firstLine="720"/>
      </w:pPr>
      <w:r w:rsidRPr="004E443B">
        <w:t xml:space="preserve">Capitation allows reimbursement of a specified amount according to the number of insured from the provider, without taking into consideration the </w:t>
      </w:r>
      <w:r w:rsidR="004E443B" w:rsidRPr="004E443B">
        <w:t>number</w:t>
      </w:r>
      <w:r w:rsidRPr="004E443B">
        <w:t xml:space="preserve"> of services the organization provides. Coding requires all parties involved, including the third-party payers, to have a firm comprehension of the codes and systems adopted. Additionally, the code influences the amount for reimbursing the healthcare providers in </w:t>
      </w:r>
      <w:r w:rsidR="004E443B" w:rsidRPr="004E443B">
        <w:t xml:space="preserve">the </w:t>
      </w:r>
      <w:r w:rsidRPr="004E443B">
        <w:t xml:space="preserve">fee-for-service payment method. </w:t>
      </w:r>
      <w:r w:rsidR="00CA1DB7" w:rsidRPr="004E443B">
        <w:br w:type="page"/>
      </w:r>
    </w:p>
    <w:p w:rsidR="00A37730" w:rsidRPr="004E443B" w:rsidRDefault="00A37730" w:rsidP="004E443B">
      <w:pPr>
        <w:spacing w:line="480" w:lineRule="auto"/>
        <w:jc w:val="center"/>
      </w:pPr>
      <w:r w:rsidRPr="004E443B">
        <w:lastRenderedPageBreak/>
        <w:t>References:</w:t>
      </w:r>
    </w:p>
    <w:p w:rsidR="00CC06CF" w:rsidRPr="004E443B" w:rsidRDefault="00A37730" w:rsidP="004E443B">
      <w:pPr>
        <w:pStyle w:val="NormalWeb"/>
        <w:spacing w:before="0" w:beforeAutospacing="0" w:after="0" w:afterAutospacing="0" w:line="480" w:lineRule="auto"/>
        <w:ind w:left="720" w:hanging="720"/>
      </w:pPr>
      <w:proofErr w:type="spellStart"/>
      <w:r w:rsidRPr="004E443B">
        <w:t>Gapenski</w:t>
      </w:r>
      <w:proofErr w:type="spellEnd"/>
      <w:r w:rsidRPr="004E443B">
        <w:t xml:space="preserve">, C. (2013). </w:t>
      </w:r>
      <w:proofErr w:type="gramStart"/>
      <w:r w:rsidRPr="004E443B">
        <w:rPr>
          <w:rStyle w:val="Emphasis"/>
        </w:rPr>
        <w:t>Fundamentals of Healthcare Finance, 2nd Edition</w:t>
      </w:r>
      <w:r w:rsidR="00CA1DB7" w:rsidRPr="004E443B">
        <w:t>.</w:t>
      </w:r>
      <w:proofErr w:type="gramEnd"/>
      <w:r w:rsidR="00CA1DB7" w:rsidRPr="004E443B">
        <w:t xml:space="preserve"> Retrieved on December </w:t>
      </w:r>
      <w:r w:rsidRPr="004E443B">
        <w:t>22, 2016 from:</w:t>
      </w:r>
      <w:r w:rsidR="00CA1DB7" w:rsidRPr="004E443B">
        <w:t xml:space="preserve"> </w:t>
      </w:r>
      <w:r w:rsidR="00CC06CF" w:rsidRPr="004E443B">
        <w:t>https://kaplan.vitalsource.com/#/books/9781567935714/cfi/124!/4/4@0.00:0.00</w:t>
      </w:r>
    </w:p>
    <w:p w:rsidR="00CA1DB7" w:rsidRPr="004E443B" w:rsidRDefault="00CC06CF" w:rsidP="004E443B">
      <w:pPr>
        <w:pStyle w:val="NormalWeb"/>
        <w:spacing w:before="0" w:beforeAutospacing="0" w:after="0" w:afterAutospacing="0" w:line="480" w:lineRule="auto"/>
        <w:ind w:left="720" w:hanging="720"/>
        <w:rPr>
          <w:shd w:val="clear" w:color="auto" w:fill="FFFFFF"/>
        </w:rPr>
      </w:pPr>
      <w:proofErr w:type="spellStart"/>
      <w:proofErr w:type="gramStart"/>
      <w:r w:rsidRPr="004E443B">
        <w:rPr>
          <w:shd w:val="clear" w:color="auto" w:fill="FFFFFF"/>
        </w:rPr>
        <w:t>Jiwani</w:t>
      </w:r>
      <w:proofErr w:type="spellEnd"/>
      <w:r w:rsidRPr="004E443B">
        <w:rPr>
          <w:shd w:val="clear" w:color="auto" w:fill="FFFFFF"/>
        </w:rPr>
        <w:t xml:space="preserve">, A., </w:t>
      </w:r>
      <w:proofErr w:type="spellStart"/>
      <w:r w:rsidRPr="004E443B">
        <w:rPr>
          <w:shd w:val="clear" w:color="auto" w:fill="FFFFFF"/>
        </w:rPr>
        <w:t>Himmelstein</w:t>
      </w:r>
      <w:proofErr w:type="spellEnd"/>
      <w:r w:rsidRPr="004E443B">
        <w:rPr>
          <w:shd w:val="clear" w:color="auto" w:fill="FFFFFF"/>
        </w:rPr>
        <w:t xml:space="preserve">, D., </w:t>
      </w:r>
      <w:proofErr w:type="spellStart"/>
      <w:r w:rsidRPr="004E443B">
        <w:rPr>
          <w:shd w:val="clear" w:color="auto" w:fill="FFFFFF"/>
        </w:rPr>
        <w:t>Woolhandler</w:t>
      </w:r>
      <w:proofErr w:type="spellEnd"/>
      <w:r w:rsidRPr="004E443B">
        <w:rPr>
          <w:shd w:val="clear" w:color="auto" w:fill="FFFFFF"/>
        </w:rPr>
        <w:t>, S., &amp; Kahn, J. G. (2014).</w:t>
      </w:r>
      <w:proofErr w:type="gramEnd"/>
      <w:r w:rsidRPr="004E443B">
        <w:rPr>
          <w:shd w:val="clear" w:color="auto" w:fill="FFFFFF"/>
        </w:rPr>
        <w:t xml:space="preserve"> Billing and insurance-related administrative costs in </w:t>
      </w:r>
      <w:r w:rsidR="004E443B" w:rsidRPr="004E443B">
        <w:rPr>
          <w:shd w:val="clear" w:color="auto" w:fill="FFFFFF"/>
        </w:rPr>
        <w:t xml:space="preserve">the </w:t>
      </w:r>
      <w:r w:rsidRPr="004E443B">
        <w:rPr>
          <w:shd w:val="clear" w:color="auto" w:fill="FFFFFF"/>
        </w:rPr>
        <w:t>United States’ health care: synthesis of micro-costing evidence. </w:t>
      </w:r>
      <w:proofErr w:type="gramStart"/>
      <w:r w:rsidRPr="004E443B">
        <w:rPr>
          <w:i/>
          <w:iCs/>
          <w:shd w:val="clear" w:color="auto" w:fill="FFFFFF"/>
        </w:rPr>
        <w:t>BMC Health Services Research</w:t>
      </w:r>
      <w:r w:rsidRPr="004E443B">
        <w:rPr>
          <w:shd w:val="clear" w:color="auto" w:fill="FFFFFF"/>
        </w:rPr>
        <w:t>, </w:t>
      </w:r>
      <w:r w:rsidRPr="004E443B">
        <w:rPr>
          <w:i/>
          <w:iCs/>
          <w:shd w:val="clear" w:color="auto" w:fill="FFFFFF"/>
        </w:rPr>
        <w:t>14</w:t>
      </w:r>
      <w:r w:rsidRPr="004E443B">
        <w:rPr>
          <w:shd w:val="clear" w:color="auto" w:fill="FFFFFF"/>
        </w:rPr>
        <w:t>(1), 556.</w:t>
      </w:r>
      <w:proofErr w:type="gramEnd"/>
    </w:p>
    <w:p w:rsidR="004E443B" w:rsidRPr="004E443B" w:rsidRDefault="004E443B" w:rsidP="004E443B">
      <w:pPr>
        <w:pStyle w:val="NormalWeb"/>
        <w:spacing w:before="0" w:beforeAutospacing="0" w:after="0" w:afterAutospacing="0" w:line="480" w:lineRule="auto"/>
        <w:ind w:left="720" w:hanging="720"/>
      </w:pPr>
      <w:r w:rsidRPr="004E443B">
        <w:rPr>
          <w:shd w:val="clear" w:color="auto" w:fill="FFFFFF"/>
        </w:rPr>
        <w:t>Meyer, H. (2011). Coding complexity: US health care gets ready for the coming of ICD-10. </w:t>
      </w:r>
      <w:r w:rsidRPr="004E443B">
        <w:rPr>
          <w:i/>
          <w:iCs/>
          <w:shd w:val="clear" w:color="auto" w:fill="FFFFFF"/>
        </w:rPr>
        <w:t>Health Affairs</w:t>
      </w:r>
      <w:r w:rsidRPr="004E443B">
        <w:rPr>
          <w:shd w:val="clear" w:color="auto" w:fill="FFFFFF"/>
        </w:rPr>
        <w:t>, </w:t>
      </w:r>
      <w:r w:rsidRPr="004E443B">
        <w:rPr>
          <w:i/>
          <w:iCs/>
          <w:shd w:val="clear" w:color="auto" w:fill="FFFFFF"/>
        </w:rPr>
        <w:t>30</w:t>
      </w:r>
      <w:r w:rsidRPr="004E443B">
        <w:rPr>
          <w:shd w:val="clear" w:color="auto" w:fill="FFFFFF"/>
        </w:rPr>
        <w:t>(5), 968-974.</w:t>
      </w:r>
    </w:p>
    <w:sectPr w:rsidR="004E443B" w:rsidRPr="004E443B" w:rsidSect="009F6382">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5E3" w:rsidRDefault="005A05E3">
      <w:r>
        <w:separator/>
      </w:r>
    </w:p>
  </w:endnote>
  <w:endnote w:type="continuationSeparator" w:id="0">
    <w:p w:rsidR="005A05E3" w:rsidRDefault="005A05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5E3" w:rsidRDefault="005A05E3">
      <w:r>
        <w:separator/>
      </w:r>
    </w:p>
  </w:footnote>
  <w:footnote w:type="continuationSeparator" w:id="0">
    <w:p w:rsidR="005A05E3" w:rsidRDefault="005A05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3B" w:rsidRDefault="004E443B" w:rsidP="004E443B">
    <w:pPr>
      <w:pStyle w:val="Header"/>
      <w:tabs>
        <w:tab w:val="clear" w:pos="8640"/>
        <w:tab w:val="right" w:pos="9360"/>
      </w:tabs>
      <w:jc w:val="right"/>
    </w:pPr>
    <w:r>
      <w:t>HEALTHCARE CODING</w:t>
    </w:r>
    <w:r>
      <w:tab/>
    </w:r>
    <w:r>
      <w:tab/>
    </w:r>
    <w:sdt>
      <w:sdtPr>
        <w:id w:val="179231094"/>
        <w:docPartObj>
          <w:docPartGallery w:val="Page Numbers (Top of Page)"/>
          <w:docPartUnique/>
        </w:docPartObj>
      </w:sdtPr>
      <w:sdtContent>
        <w:fldSimple w:instr=" PAGE   \* MERGEFORMAT ">
          <w:r>
            <w:rPr>
              <w:noProof/>
            </w:rPr>
            <w:t>2</w:t>
          </w:r>
        </w:fldSimple>
      </w:sdtContent>
    </w:sdt>
  </w:p>
  <w:p w:rsidR="004E443B" w:rsidRDefault="004E44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3B" w:rsidRDefault="004E443B" w:rsidP="004E443B">
    <w:pPr>
      <w:pStyle w:val="Header"/>
      <w:tabs>
        <w:tab w:val="clear" w:pos="8640"/>
        <w:tab w:val="right" w:pos="9360"/>
      </w:tabs>
      <w:jc w:val="right"/>
    </w:pPr>
    <w:r>
      <w:t xml:space="preserve">Running Head: HEALTHCARE CODING </w:t>
    </w:r>
    <w:r>
      <w:tab/>
    </w:r>
    <w:r>
      <w:tab/>
    </w:r>
    <w:sdt>
      <w:sdtPr>
        <w:id w:val="179231113"/>
        <w:docPartObj>
          <w:docPartGallery w:val="Page Numbers (Top of Page)"/>
          <w:docPartUnique/>
        </w:docPartObj>
      </w:sdtPr>
      <w:sdtContent>
        <w:fldSimple w:instr=" PAGE   \* MERGEFORMAT ">
          <w:r>
            <w:rPr>
              <w:noProof/>
            </w:rPr>
            <w:t>1</w:t>
          </w:r>
        </w:fldSimple>
      </w:sdtContent>
    </w:sdt>
  </w:p>
  <w:p w:rsidR="004E443B" w:rsidRDefault="004E44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63B23"/>
    <w:multiLevelType w:val="hybridMultilevel"/>
    <w:tmpl w:val="C50281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5DC3A0F"/>
    <w:multiLevelType w:val="hybridMultilevel"/>
    <w:tmpl w:val="5282A9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attachedTemplate r:id="rId1"/>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rOwNDc0MTExtzSyMLBU0lEKTi0uzszPAykwqgUA8wfFAiwAAAA="/>
    <w:docVar w:name="Abstract" w:val="0"/>
    <w:docVar w:name="CreditedName" w:val="Erin Nelson"/>
    <w:docVar w:name="IncludeRunningHead" w:val="-1"/>
    <w:docVar w:name="OpenYesNo" w:val="0"/>
  </w:docVars>
  <w:rsids>
    <w:rsidRoot w:val="00E15AA4"/>
    <w:rsid w:val="00002375"/>
    <w:rsid w:val="000027E8"/>
    <w:rsid w:val="0000410F"/>
    <w:rsid w:val="000168B9"/>
    <w:rsid w:val="00017428"/>
    <w:rsid w:val="000201CE"/>
    <w:rsid w:val="000246C4"/>
    <w:rsid w:val="00026603"/>
    <w:rsid w:val="000368E9"/>
    <w:rsid w:val="00042CC7"/>
    <w:rsid w:val="000433EA"/>
    <w:rsid w:val="00050CAC"/>
    <w:rsid w:val="00057F4D"/>
    <w:rsid w:val="00062C26"/>
    <w:rsid w:val="000673A4"/>
    <w:rsid w:val="00076564"/>
    <w:rsid w:val="00076810"/>
    <w:rsid w:val="00076B31"/>
    <w:rsid w:val="00081BC6"/>
    <w:rsid w:val="000858DE"/>
    <w:rsid w:val="000A5A6A"/>
    <w:rsid w:val="000D203E"/>
    <w:rsid w:val="000D4BC7"/>
    <w:rsid w:val="000E683E"/>
    <w:rsid w:val="000F1799"/>
    <w:rsid w:val="000F2663"/>
    <w:rsid w:val="001023C2"/>
    <w:rsid w:val="00106CBF"/>
    <w:rsid w:val="00112BCA"/>
    <w:rsid w:val="00116D9C"/>
    <w:rsid w:val="00121CDD"/>
    <w:rsid w:val="001320D9"/>
    <w:rsid w:val="001332DE"/>
    <w:rsid w:val="0013426E"/>
    <w:rsid w:val="00134E26"/>
    <w:rsid w:val="0013558A"/>
    <w:rsid w:val="00141EFD"/>
    <w:rsid w:val="001441CA"/>
    <w:rsid w:val="001451FE"/>
    <w:rsid w:val="00151A6D"/>
    <w:rsid w:val="001525D5"/>
    <w:rsid w:val="00163D68"/>
    <w:rsid w:val="0016588A"/>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C0672"/>
    <w:rsid w:val="002D0486"/>
    <w:rsid w:val="002D0B13"/>
    <w:rsid w:val="002D33B9"/>
    <w:rsid w:val="002D412B"/>
    <w:rsid w:val="002E21B1"/>
    <w:rsid w:val="002F20F2"/>
    <w:rsid w:val="002F507B"/>
    <w:rsid w:val="0031289F"/>
    <w:rsid w:val="00324D34"/>
    <w:rsid w:val="00334E69"/>
    <w:rsid w:val="00337874"/>
    <w:rsid w:val="00341813"/>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3EFF"/>
    <w:rsid w:val="00394884"/>
    <w:rsid w:val="003966B3"/>
    <w:rsid w:val="003A09A9"/>
    <w:rsid w:val="003A41B8"/>
    <w:rsid w:val="003B3913"/>
    <w:rsid w:val="003B58A6"/>
    <w:rsid w:val="003B7D11"/>
    <w:rsid w:val="003C0F7A"/>
    <w:rsid w:val="003C3B1D"/>
    <w:rsid w:val="003C5F69"/>
    <w:rsid w:val="003C6A10"/>
    <w:rsid w:val="003D0564"/>
    <w:rsid w:val="003D6329"/>
    <w:rsid w:val="003D65E1"/>
    <w:rsid w:val="003D7CA2"/>
    <w:rsid w:val="003E1812"/>
    <w:rsid w:val="003E1BB1"/>
    <w:rsid w:val="003E79AB"/>
    <w:rsid w:val="004006CB"/>
    <w:rsid w:val="00405146"/>
    <w:rsid w:val="004220D7"/>
    <w:rsid w:val="004273E9"/>
    <w:rsid w:val="00431BDA"/>
    <w:rsid w:val="00450E5D"/>
    <w:rsid w:val="00465723"/>
    <w:rsid w:val="00480108"/>
    <w:rsid w:val="00480229"/>
    <w:rsid w:val="004933B7"/>
    <w:rsid w:val="004B0EC7"/>
    <w:rsid w:val="004D446B"/>
    <w:rsid w:val="004E2745"/>
    <w:rsid w:val="004E28D6"/>
    <w:rsid w:val="004E443B"/>
    <w:rsid w:val="004F28EE"/>
    <w:rsid w:val="004F4111"/>
    <w:rsid w:val="004F7B75"/>
    <w:rsid w:val="004F7D50"/>
    <w:rsid w:val="00527090"/>
    <w:rsid w:val="005450B8"/>
    <w:rsid w:val="00552D67"/>
    <w:rsid w:val="005650EB"/>
    <w:rsid w:val="00571769"/>
    <w:rsid w:val="00577806"/>
    <w:rsid w:val="00595228"/>
    <w:rsid w:val="00596D98"/>
    <w:rsid w:val="005A05E3"/>
    <w:rsid w:val="005B60A0"/>
    <w:rsid w:val="005C29F7"/>
    <w:rsid w:val="005C4B45"/>
    <w:rsid w:val="005C53D6"/>
    <w:rsid w:val="005F2E7E"/>
    <w:rsid w:val="00602CC5"/>
    <w:rsid w:val="00604874"/>
    <w:rsid w:val="00604B02"/>
    <w:rsid w:val="00613978"/>
    <w:rsid w:val="00634941"/>
    <w:rsid w:val="006362A0"/>
    <w:rsid w:val="00640E04"/>
    <w:rsid w:val="0064774B"/>
    <w:rsid w:val="006559A3"/>
    <w:rsid w:val="006570ED"/>
    <w:rsid w:val="00657B75"/>
    <w:rsid w:val="00661FB3"/>
    <w:rsid w:val="00662178"/>
    <w:rsid w:val="0066695C"/>
    <w:rsid w:val="00673875"/>
    <w:rsid w:val="00677CC4"/>
    <w:rsid w:val="00680003"/>
    <w:rsid w:val="00684A32"/>
    <w:rsid w:val="006B099A"/>
    <w:rsid w:val="006B641D"/>
    <w:rsid w:val="006B7334"/>
    <w:rsid w:val="006C40E2"/>
    <w:rsid w:val="006C4BF6"/>
    <w:rsid w:val="006D5770"/>
    <w:rsid w:val="006D6131"/>
    <w:rsid w:val="006E6543"/>
    <w:rsid w:val="006F34D6"/>
    <w:rsid w:val="006F4222"/>
    <w:rsid w:val="00712C35"/>
    <w:rsid w:val="00714E61"/>
    <w:rsid w:val="00716DA5"/>
    <w:rsid w:val="00720EE5"/>
    <w:rsid w:val="0073339F"/>
    <w:rsid w:val="0074141A"/>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8055FD"/>
    <w:rsid w:val="00810BF6"/>
    <w:rsid w:val="00813C1E"/>
    <w:rsid w:val="008150D4"/>
    <w:rsid w:val="008213FF"/>
    <w:rsid w:val="00824C5E"/>
    <w:rsid w:val="0083060C"/>
    <w:rsid w:val="0083233D"/>
    <w:rsid w:val="00835FC8"/>
    <w:rsid w:val="0084039A"/>
    <w:rsid w:val="008657EE"/>
    <w:rsid w:val="008711D9"/>
    <w:rsid w:val="00872A15"/>
    <w:rsid w:val="00873108"/>
    <w:rsid w:val="0087533B"/>
    <w:rsid w:val="00880A26"/>
    <w:rsid w:val="008921F8"/>
    <w:rsid w:val="008A0E27"/>
    <w:rsid w:val="008B2432"/>
    <w:rsid w:val="008B625A"/>
    <w:rsid w:val="008C480C"/>
    <w:rsid w:val="008C5129"/>
    <w:rsid w:val="008D25CF"/>
    <w:rsid w:val="008D3B5B"/>
    <w:rsid w:val="008E6DF5"/>
    <w:rsid w:val="008F067E"/>
    <w:rsid w:val="008F69A0"/>
    <w:rsid w:val="00912675"/>
    <w:rsid w:val="00912923"/>
    <w:rsid w:val="00917C5A"/>
    <w:rsid w:val="009201AC"/>
    <w:rsid w:val="0092104E"/>
    <w:rsid w:val="009229DC"/>
    <w:rsid w:val="00925776"/>
    <w:rsid w:val="0093108A"/>
    <w:rsid w:val="00943B63"/>
    <w:rsid w:val="00976ACC"/>
    <w:rsid w:val="009774F1"/>
    <w:rsid w:val="00980F71"/>
    <w:rsid w:val="00991607"/>
    <w:rsid w:val="0099735D"/>
    <w:rsid w:val="009A446E"/>
    <w:rsid w:val="009C5992"/>
    <w:rsid w:val="009F59EB"/>
    <w:rsid w:val="009F6382"/>
    <w:rsid w:val="00A0014B"/>
    <w:rsid w:val="00A0621A"/>
    <w:rsid w:val="00A116DC"/>
    <w:rsid w:val="00A21625"/>
    <w:rsid w:val="00A21BDD"/>
    <w:rsid w:val="00A26D16"/>
    <w:rsid w:val="00A3303C"/>
    <w:rsid w:val="00A33C5B"/>
    <w:rsid w:val="00A37730"/>
    <w:rsid w:val="00A41B91"/>
    <w:rsid w:val="00A42102"/>
    <w:rsid w:val="00A4260D"/>
    <w:rsid w:val="00A429F7"/>
    <w:rsid w:val="00A46D05"/>
    <w:rsid w:val="00A51503"/>
    <w:rsid w:val="00A63F64"/>
    <w:rsid w:val="00A65350"/>
    <w:rsid w:val="00A74E24"/>
    <w:rsid w:val="00A8149A"/>
    <w:rsid w:val="00A86D24"/>
    <w:rsid w:val="00A91DD3"/>
    <w:rsid w:val="00AA0083"/>
    <w:rsid w:val="00AB448E"/>
    <w:rsid w:val="00AB4A9E"/>
    <w:rsid w:val="00AC4703"/>
    <w:rsid w:val="00AD1618"/>
    <w:rsid w:val="00AD3E03"/>
    <w:rsid w:val="00AD6BFE"/>
    <w:rsid w:val="00B0181F"/>
    <w:rsid w:val="00B07EA2"/>
    <w:rsid w:val="00B16BE4"/>
    <w:rsid w:val="00B218CA"/>
    <w:rsid w:val="00B247EB"/>
    <w:rsid w:val="00B3041D"/>
    <w:rsid w:val="00B316B4"/>
    <w:rsid w:val="00B36297"/>
    <w:rsid w:val="00B5503B"/>
    <w:rsid w:val="00B603EE"/>
    <w:rsid w:val="00B615C4"/>
    <w:rsid w:val="00B61FC6"/>
    <w:rsid w:val="00B85F0E"/>
    <w:rsid w:val="00B92F1D"/>
    <w:rsid w:val="00BC30AD"/>
    <w:rsid w:val="00BC4EBB"/>
    <w:rsid w:val="00BC4F75"/>
    <w:rsid w:val="00BC5ACD"/>
    <w:rsid w:val="00BD70E3"/>
    <w:rsid w:val="00BE30F2"/>
    <w:rsid w:val="00BE68D3"/>
    <w:rsid w:val="00BE79D7"/>
    <w:rsid w:val="00BF388B"/>
    <w:rsid w:val="00C1161A"/>
    <w:rsid w:val="00C11D24"/>
    <w:rsid w:val="00C12231"/>
    <w:rsid w:val="00C14A2A"/>
    <w:rsid w:val="00C1658B"/>
    <w:rsid w:val="00C17EAC"/>
    <w:rsid w:val="00C2578F"/>
    <w:rsid w:val="00C37025"/>
    <w:rsid w:val="00C6360B"/>
    <w:rsid w:val="00C72BCE"/>
    <w:rsid w:val="00C8128A"/>
    <w:rsid w:val="00C86DF0"/>
    <w:rsid w:val="00C877A6"/>
    <w:rsid w:val="00C959EE"/>
    <w:rsid w:val="00CA0525"/>
    <w:rsid w:val="00CA1DB7"/>
    <w:rsid w:val="00CB7478"/>
    <w:rsid w:val="00CC06CF"/>
    <w:rsid w:val="00CC16B4"/>
    <w:rsid w:val="00CC1F52"/>
    <w:rsid w:val="00CC723E"/>
    <w:rsid w:val="00CD5ABD"/>
    <w:rsid w:val="00CD7E33"/>
    <w:rsid w:val="00CE0090"/>
    <w:rsid w:val="00CE5503"/>
    <w:rsid w:val="00CF30BF"/>
    <w:rsid w:val="00D13A94"/>
    <w:rsid w:val="00D14987"/>
    <w:rsid w:val="00D15C09"/>
    <w:rsid w:val="00D17DCA"/>
    <w:rsid w:val="00D210C2"/>
    <w:rsid w:val="00D27D82"/>
    <w:rsid w:val="00D31F88"/>
    <w:rsid w:val="00D33F9E"/>
    <w:rsid w:val="00D44548"/>
    <w:rsid w:val="00D52003"/>
    <w:rsid w:val="00D53574"/>
    <w:rsid w:val="00D549D9"/>
    <w:rsid w:val="00D5747B"/>
    <w:rsid w:val="00D614CB"/>
    <w:rsid w:val="00D7561D"/>
    <w:rsid w:val="00D77DD5"/>
    <w:rsid w:val="00D87D5B"/>
    <w:rsid w:val="00D90E1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5AA4"/>
    <w:rsid w:val="00E16071"/>
    <w:rsid w:val="00E16C94"/>
    <w:rsid w:val="00E2754D"/>
    <w:rsid w:val="00E27E8F"/>
    <w:rsid w:val="00E34B45"/>
    <w:rsid w:val="00E369DC"/>
    <w:rsid w:val="00E51F7D"/>
    <w:rsid w:val="00E53E40"/>
    <w:rsid w:val="00E601AD"/>
    <w:rsid w:val="00E634CA"/>
    <w:rsid w:val="00E645AE"/>
    <w:rsid w:val="00E81A2F"/>
    <w:rsid w:val="00E87CEF"/>
    <w:rsid w:val="00EA472B"/>
    <w:rsid w:val="00EB2C38"/>
    <w:rsid w:val="00EB6196"/>
    <w:rsid w:val="00EC129F"/>
    <w:rsid w:val="00EC1BBA"/>
    <w:rsid w:val="00EC28A7"/>
    <w:rsid w:val="00ED26E3"/>
    <w:rsid w:val="00ED52FB"/>
    <w:rsid w:val="00EE12AC"/>
    <w:rsid w:val="00EE2D0A"/>
    <w:rsid w:val="00EE3236"/>
    <w:rsid w:val="00EF157A"/>
    <w:rsid w:val="00EF15BA"/>
    <w:rsid w:val="00EF3316"/>
    <w:rsid w:val="00EF473B"/>
    <w:rsid w:val="00EF513E"/>
    <w:rsid w:val="00F0548D"/>
    <w:rsid w:val="00F13EB6"/>
    <w:rsid w:val="00F23B13"/>
    <w:rsid w:val="00F32B85"/>
    <w:rsid w:val="00F34C3D"/>
    <w:rsid w:val="00F42BB9"/>
    <w:rsid w:val="00F55687"/>
    <w:rsid w:val="00F62B52"/>
    <w:rsid w:val="00F65E88"/>
    <w:rsid w:val="00F72369"/>
    <w:rsid w:val="00F7493E"/>
    <w:rsid w:val="00F7629E"/>
    <w:rsid w:val="00F80F9E"/>
    <w:rsid w:val="00F96984"/>
    <w:rsid w:val="00F97852"/>
    <w:rsid w:val="00FA7B51"/>
    <w:rsid w:val="00FA7B83"/>
    <w:rsid w:val="00FB103B"/>
    <w:rsid w:val="00FB1756"/>
    <w:rsid w:val="00FB25BF"/>
    <w:rsid w:val="00FB3161"/>
    <w:rsid w:val="00FB4535"/>
    <w:rsid w:val="00FD31CB"/>
    <w:rsid w:val="00FF4E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styleId="Hyperlink">
    <w:name w:val="Hyperlink"/>
    <w:basedOn w:val="DefaultParagraphFont"/>
    <w:unhideWhenUsed/>
    <w:rsid w:val="00810BF6"/>
    <w:rPr>
      <w:color w:val="0000FF" w:themeColor="hyperlink"/>
      <w:u w:val="single"/>
    </w:rPr>
  </w:style>
  <w:style w:type="paragraph" w:customStyle="1" w:styleId="Default">
    <w:name w:val="Default"/>
    <w:rsid w:val="0074141A"/>
    <w:pPr>
      <w:autoSpaceDE w:val="0"/>
      <w:autoSpaceDN w:val="0"/>
      <w:adjustRightInd w:val="0"/>
    </w:pPr>
    <w:rPr>
      <w:rFonts w:ascii="Arial" w:eastAsiaTheme="minorHAnsi" w:hAnsi="Arial" w:cs="Arial"/>
      <w:color w:val="000000"/>
      <w:sz w:val="24"/>
      <w:szCs w:val="24"/>
    </w:rPr>
  </w:style>
  <w:style w:type="character" w:styleId="Emphasis">
    <w:name w:val="Emphasis"/>
    <w:basedOn w:val="DefaultParagraphFont"/>
    <w:uiPriority w:val="20"/>
    <w:qFormat/>
    <w:rsid w:val="0074141A"/>
    <w:rPr>
      <w:i/>
      <w:iCs/>
    </w:rPr>
  </w:style>
  <w:style w:type="paragraph" w:styleId="NormalWeb">
    <w:name w:val="Normal (Web)"/>
    <w:basedOn w:val="Normal"/>
    <w:uiPriority w:val="99"/>
    <w:unhideWhenUsed/>
    <w:rsid w:val="0074141A"/>
    <w:pPr>
      <w:spacing w:before="100" w:beforeAutospacing="1" w:after="100" w:afterAutospacing="1"/>
    </w:pPr>
  </w:style>
  <w:style w:type="paragraph" w:styleId="ListParagraph">
    <w:name w:val="List Paragraph"/>
    <w:basedOn w:val="Normal"/>
    <w:uiPriority w:val="34"/>
    <w:qFormat/>
    <w:rsid w:val="00CA1DB7"/>
    <w:pPr>
      <w:ind w:left="720"/>
      <w:contextualSpacing/>
    </w:pPr>
  </w:style>
  <w:style w:type="character" w:customStyle="1" w:styleId="HeaderChar">
    <w:name w:val="Header Char"/>
    <w:basedOn w:val="DefaultParagraphFont"/>
    <w:link w:val="Header"/>
    <w:uiPriority w:val="99"/>
    <w:rsid w:val="004E443B"/>
    <w:rPr>
      <w:sz w:val="24"/>
    </w:rPr>
  </w:style>
</w:styles>
</file>

<file path=word/webSettings.xml><?xml version="1.0" encoding="utf-8"?>
<w:webSettings xmlns:r="http://schemas.openxmlformats.org/officeDocument/2006/relationships" xmlns:w="http://schemas.openxmlformats.org/wordprocessingml/2006/main">
  <w:divs>
    <w:div w:id="488063738">
      <w:bodyDiv w:val="1"/>
      <w:marLeft w:val="0"/>
      <w:marRight w:val="0"/>
      <w:marTop w:val="0"/>
      <w:marBottom w:val="0"/>
      <w:divBdr>
        <w:top w:val="none" w:sz="0" w:space="0" w:color="auto"/>
        <w:left w:val="none" w:sz="0" w:space="0" w:color="auto"/>
        <w:bottom w:val="none" w:sz="0" w:space="0" w:color="auto"/>
        <w:right w:val="none" w:sz="0" w:space="0" w:color="auto"/>
      </w:divBdr>
      <w:divsChild>
        <w:div w:id="5600435">
          <w:marLeft w:val="0"/>
          <w:marRight w:val="0"/>
          <w:marTop w:val="0"/>
          <w:marBottom w:val="0"/>
          <w:divBdr>
            <w:top w:val="none" w:sz="0" w:space="0" w:color="auto"/>
            <w:left w:val="none" w:sz="0" w:space="0" w:color="auto"/>
            <w:bottom w:val="none" w:sz="0" w:space="0" w:color="auto"/>
            <w:right w:val="none" w:sz="0" w:space="0" w:color="auto"/>
          </w:divBdr>
          <w:divsChild>
            <w:div w:id="1725443001">
              <w:marLeft w:val="0"/>
              <w:marRight w:val="0"/>
              <w:marTop w:val="0"/>
              <w:marBottom w:val="0"/>
              <w:divBdr>
                <w:top w:val="none" w:sz="0" w:space="0" w:color="auto"/>
                <w:left w:val="none" w:sz="0" w:space="0" w:color="auto"/>
                <w:bottom w:val="none" w:sz="0" w:space="0" w:color="auto"/>
                <w:right w:val="none" w:sz="0" w:space="0" w:color="auto"/>
              </w:divBdr>
              <w:divsChild>
                <w:div w:id="80032621">
                  <w:marLeft w:val="0"/>
                  <w:marRight w:val="0"/>
                  <w:marTop w:val="0"/>
                  <w:marBottom w:val="0"/>
                  <w:divBdr>
                    <w:top w:val="none" w:sz="0" w:space="0" w:color="auto"/>
                    <w:left w:val="none" w:sz="0" w:space="0" w:color="auto"/>
                    <w:bottom w:val="none" w:sz="0" w:space="0" w:color="auto"/>
                    <w:right w:val="none" w:sz="0" w:space="0" w:color="auto"/>
                  </w:divBdr>
                  <w:divsChild>
                    <w:div w:id="1234196176">
                      <w:marLeft w:val="0"/>
                      <w:marRight w:val="0"/>
                      <w:marTop w:val="0"/>
                      <w:marBottom w:val="0"/>
                      <w:divBdr>
                        <w:top w:val="none" w:sz="0" w:space="0" w:color="auto"/>
                        <w:left w:val="none" w:sz="0" w:space="0" w:color="auto"/>
                        <w:bottom w:val="none" w:sz="0" w:space="0" w:color="auto"/>
                        <w:right w:val="none" w:sz="0" w:space="0" w:color="auto"/>
                      </w:divBdr>
                      <w:divsChild>
                        <w:div w:id="1606769932">
                          <w:marLeft w:val="0"/>
                          <w:marRight w:val="0"/>
                          <w:marTop w:val="0"/>
                          <w:marBottom w:val="0"/>
                          <w:divBdr>
                            <w:top w:val="none" w:sz="0" w:space="0" w:color="auto"/>
                            <w:left w:val="none" w:sz="0" w:space="0" w:color="auto"/>
                            <w:bottom w:val="none" w:sz="0" w:space="0" w:color="auto"/>
                            <w:right w:val="none" w:sz="0" w:space="0" w:color="auto"/>
                          </w:divBdr>
                          <w:divsChild>
                            <w:div w:id="1736126940">
                              <w:marLeft w:val="0"/>
                              <w:marRight w:val="0"/>
                              <w:marTop w:val="0"/>
                              <w:marBottom w:val="0"/>
                              <w:divBdr>
                                <w:top w:val="none" w:sz="0" w:space="0" w:color="auto"/>
                                <w:left w:val="none" w:sz="0" w:space="0" w:color="auto"/>
                                <w:bottom w:val="none" w:sz="0" w:space="0" w:color="auto"/>
                                <w:right w:val="none" w:sz="0" w:space="0" w:color="auto"/>
                              </w:divBdr>
                              <w:divsChild>
                                <w:div w:id="843134238">
                                  <w:marLeft w:val="0"/>
                                  <w:marRight w:val="0"/>
                                  <w:marTop w:val="0"/>
                                  <w:marBottom w:val="0"/>
                                  <w:divBdr>
                                    <w:top w:val="none" w:sz="0" w:space="0" w:color="auto"/>
                                    <w:left w:val="none" w:sz="0" w:space="0" w:color="auto"/>
                                    <w:bottom w:val="none" w:sz="0" w:space="0" w:color="auto"/>
                                    <w:right w:val="none" w:sz="0" w:space="0" w:color="auto"/>
                                  </w:divBdr>
                                  <w:divsChild>
                                    <w:div w:id="1260406777">
                                      <w:marLeft w:val="0"/>
                                      <w:marRight w:val="0"/>
                                      <w:marTop w:val="0"/>
                                      <w:marBottom w:val="0"/>
                                      <w:divBdr>
                                        <w:top w:val="none" w:sz="0" w:space="0" w:color="auto"/>
                                        <w:left w:val="none" w:sz="0" w:space="0" w:color="auto"/>
                                        <w:bottom w:val="none" w:sz="0" w:space="0" w:color="auto"/>
                                        <w:right w:val="none" w:sz="0" w:space="0" w:color="auto"/>
                                      </w:divBdr>
                                      <w:divsChild>
                                        <w:div w:id="457575750">
                                          <w:marLeft w:val="0"/>
                                          <w:marRight w:val="0"/>
                                          <w:marTop w:val="0"/>
                                          <w:marBottom w:val="0"/>
                                          <w:divBdr>
                                            <w:top w:val="none" w:sz="0" w:space="0" w:color="auto"/>
                                            <w:left w:val="none" w:sz="0" w:space="0" w:color="auto"/>
                                            <w:bottom w:val="none" w:sz="0" w:space="0" w:color="auto"/>
                                            <w:right w:val="none" w:sz="0" w:space="0" w:color="auto"/>
                                          </w:divBdr>
                                          <w:divsChild>
                                            <w:div w:id="1470509997">
                                              <w:marLeft w:val="0"/>
                                              <w:marRight w:val="0"/>
                                              <w:marTop w:val="0"/>
                                              <w:marBottom w:val="0"/>
                                              <w:divBdr>
                                                <w:top w:val="none" w:sz="0" w:space="0" w:color="auto"/>
                                                <w:left w:val="none" w:sz="0" w:space="0" w:color="auto"/>
                                                <w:bottom w:val="none" w:sz="0" w:space="0" w:color="auto"/>
                                                <w:right w:val="none" w:sz="0" w:space="0" w:color="auto"/>
                                              </w:divBdr>
                                              <w:divsChild>
                                                <w:div w:id="122352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enel_000\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Say13</b:Tag>
    <b:SourceType>Book</b:SourceType>
    <b:Guid>{154C31C0-05E3-498A-9916-CD55F14F4C80}</b:Guid>
    <b:Author>
      <b:Author>
        <b:NameList>
          <b:Person>
            <b:Last>Sayles</b:Last>
            <b:First>Naneete,</b:First>
            <b:Middle>EdD, RHIA, CHPS, CCS, CPHIMS, FAHIMA (Sayles i)</b:Middle>
          </b:Person>
        </b:NameList>
      </b:Author>
    </b:Author>
    <b:Title>Health Information Management Technololgy: An Applied Approach</b:Title>
    <b:Year>2013</b:Year>
    <b:City>Chicago</b:City>
    <b:Publisher>American Health Information Management Association</b:Publisher>
    <b:StateProvince>Illinois</b:StateProvince>
    <b:CountryRegion>USA</b:CountryRegion>
    <b:StandardNumber>ISBN: 978-1-58426-352-7</b:StandardNumber>
    <b:Edition>4th</b:Edition>
    <b:YearAccessed>2014</b:YearAccessed>
    <b:RefOrder>1</b:RefOrder>
  </b:Source>
  <b:Source>
    <b:Tag>Hea141</b:Tag>
    <b:SourceType>InternetSite</b:SourceType>
    <b:Guid>{63835D87-C776-43DC-9D16-96EEE2D8842A}</b:Guid>
    <b:Author>
      <b:Author>
        <b:Corporate> Health Resources and Services Administration </b:Corporate>
      </b:Author>
    </b:Author>
    <b:Title>What are the specific functionalities that are needed in an EHR?</b:Title>
    <b:InternetSiteTitle>HRSA Health Information Technology</b:InternetSiteTitle>
    <b:Year>updated 2014</b:Year>
    <b:URL>http://www.hrsa.gov/healthit/toolbox/RuralHealthITtoolbox/GettingStarted/ehr.html</b:URL>
    <b:RefOrder>2</b:RefOrder>
  </b:Source>
  <b:Source>
    <b:Tag>Qua11</b:Tag>
    <b:SourceType>DocumentFromInternetSite</b:SourceType>
    <b:Guid>{951A17BF-4E2E-4472-981A-5A16CD52CB0E}</b:Guid>
    <b:Author>
      <b:Author>
        <b:NameList>
          <b:Person>
            <b:Last>Quammen</b:Last>
            <b:First>PA-C,</b:First>
            <b:Middle>Chip</b:Middle>
          </b:Person>
        </b:NameList>
      </b:Author>
    </b:Author>
    <b:Title>EHR Adoption: The Evolution of Physician Acceptance </b:Title>
    <b:InternetSiteTitle>For the Record Magazine</b:InternetSiteTitle>
    <b:Year>2011</b:Year>
    <b:Month>June</b:Month>
    <b:URL>http://www.fortherecordmag.com/archives/062011p14.shtml</b:URL>
    <b:RefOrder>3</b:RefOrder>
  </b:Source>
  <b:Source>
    <b:Tag>Row11</b:Tag>
    <b:SourceType>DocumentFromInternetSite</b:SourceType>
    <b:Guid>{554B6AC8-FCEE-415A-82FE-6C0A9948A151}</b:Guid>
    <b:Author>
      <b:Author>
        <b:NameList>
          <b:Person>
            <b:Last>Rowley</b:Last>
            <b:First>MD,</b:First>
            <b:Middle>Robert</b:Middle>
          </b:Person>
        </b:NameList>
      </b:Author>
    </b:Author>
    <b:Title>EHR implementation in the ambulatory or hospital setting</b:Title>
    <b:InternetSiteTitle>MedPage Today</b:InternetSiteTitle>
    <b:Year>2011</b:Year>
    <b:Month>January</b:Month>
    <b:URL>http://www.kevinmd.com/blog/2011/01/ehr-implementation-ambulatory-hospital-setting.html</b:URL>
    <b:RefOrder>4</b:RefOrder>
  </b:Source>
</b:Sources>
</file>

<file path=customXml/itemProps1.xml><?xml version="1.0" encoding="utf-8"?>
<ds:datastoreItem xmlns:ds="http://schemas.openxmlformats.org/officeDocument/2006/customXml" ds:itemID="{B3646581-77FD-4004-979C-CFFED53D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Riverpoint.dot</Template>
  <TotalTime>295</TotalTime>
  <Pages>5</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Unit 9 - Exploring the Free Web Based EHR</vt:lpstr>
    </vt:vector>
  </TitlesOfParts>
  <Company>Apollogroup</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9 - Exploring the Free Web Based EHR</dc:title>
  <dc:subject>Paper Formatter</dc:subject>
  <dc:creator>Erin Nelson</dc:creator>
  <cp:lastModifiedBy>ADMIN</cp:lastModifiedBy>
  <cp:revision>6</cp:revision>
  <dcterms:created xsi:type="dcterms:W3CDTF">2020-06-17T20:00:00Z</dcterms:created>
  <dcterms:modified xsi:type="dcterms:W3CDTF">2020-06-18T13:59:00Z</dcterms:modified>
  <cp:category>School Papers</cp:category>
</cp:coreProperties>
</file>